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605BD7" w:rsidRPr="00185087"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3GPP TSG-RAN WG4 Meeting # 10</w:t>
      </w:r>
      <w:r w:rsidR="00654715">
        <w:rPr>
          <w:rFonts w:ascii="Arial" w:eastAsia="MS Mincho" w:hAnsi="Arial" w:cs="Arial"/>
          <w:b/>
          <w:szCs w:val="24"/>
        </w:rPr>
        <w:t>4</w:t>
      </w:r>
      <w:r w:rsidRPr="00605BD7">
        <w:rPr>
          <w:rFonts w:ascii="Arial" w:eastAsia="MS Mincho" w:hAnsi="Arial" w:cs="Arial"/>
          <w:b/>
          <w:szCs w:val="24"/>
        </w:rPr>
        <w:t>-e</w:t>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008004E6" w:rsidRPr="008004E6">
        <w:rPr>
          <w:rFonts w:ascii="Arial" w:eastAsia="MS Mincho" w:hAnsi="Arial" w:cs="Arial"/>
          <w:b/>
          <w:szCs w:val="24"/>
        </w:rPr>
        <w:t>R4-22</w:t>
      </w:r>
      <w:r w:rsidR="005900E3">
        <w:rPr>
          <w:rFonts w:ascii="Arial" w:eastAsia="MS Mincho" w:hAnsi="Arial" w:cs="Arial"/>
          <w:b/>
          <w:szCs w:val="24"/>
        </w:rPr>
        <w:t>13371</w:t>
      </w:r>
      <w:bookmarkStart w:id="0" w:name="_GoBack"/>
      <w:bookmarkEnd w:id="0"/>
    </w:p>
    <w:p w:rsidR="009256F6"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 xml:space="preserve">Electronic Meeting, </w:t>
      </w:r>
      <w:r w:rsidR="00654715" w:rsidRPr="00654715">
        <w:rPr>
          <w:rFonts w:ascii="Arial" w:eastAsia="MS Mincho" w:hAnsi="Arial" w:cs="Arial"/>
          <w:b/>
          <w:szCs w:val="24"/>
        </w:rPr>
        <w:t>Aug 15-26</w:t>
      </w:r>
      <w:r w:rsidRPr="00605BD7">
        <w:rPr>
          <w:rFonts w:ascii="Arial" w:eastAsia="MS Mincho" w:hAnsi="Arial" w:cs="Arial"/>
          <w:b/>
          <w:szCs w:val="24"/>
        </w:rPr>
        <w:t xml:space="preserve">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605BD7">
        <w:rPr>
          <w:rFonts w:ascii="Arial" w:eastAsiaTheme="minorEastAsia" w:hAnsi="Arial" w:hint="eastAsia"/>
          <w:lang w:val="en-US" w:eastAsia="zh-CN"/>
        </w:rPr>
        <w:t>7</w:t>
      </w:r>
      <w:r w:rsidR="000E0170">
        <w:rPr>
          <w:rFonts w:ascii="Arial" w:eastAsiaTheme="minorEastAsia" w:hAnsi="Arial"/>
          <w:lang w:val="en-US" w:eastAsia="zh-CN"/>
        </w:rPr>
        <w:t>.1</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F95A5C">
        <w:rPr>
          <w:rFonts w:ascii="Arial" w:eastAsiaTheme="minorEastAsia" w:hAnsi="Arial"/>
          <w:lang w:val="en-US" w:eastAsia="zh-CN"/>
        </w:rPr>
        <w:t>Huawei</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F95A5C" w:rsidRPr="00F95A5C">
        <w:rPr>
          <w:rFonts w:ascii="Arial" w:eastAsiaTheme="minorEastAsia" w:hAnsi="Arial"/>
          <w:lang w:val="en-US" w:eastAsia="zh-CN"/>
        </w:rPr>
        <w:t>On UE power class per band per band combination</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247CAA">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F93779" w:rsidRPr="00C0322B" w:rsidRDefault="0088564A" w:rsidP="002C3E9B">
      <w:pPr>
        <w:rPr>
          <w:lang w:eastAsia="zh-CN"/>
        </w:rPr>
      </w:pPr>
      <w:r w:rsidRPr="00C0322B">
        <w:rPr>
          <w:lang w:eastAsia="zh-CN"/>
        </w:rPr>
        <w:t xml:space="preserve">In RAN4 #103-e meeting, the UE feature of </w:t>
      </w:r>
      <w:r w:rsidR="00650AD5">
        <w:rPr>
          <w:lang w:eastAsia="zh-CN"/>
        </w:rPr>
        <w:t>P</w:t>
      </w:r>
      <w:r w:rsidRPr="00C0322B">
        <w:rPr>
          <w:lang w:eastAsia="zh-CN"/>
        </w:rPr>
        <w:t>ower class per band per band combination was discussed and agreed by RAN4 as below.</w:t>
      </w:r>
      <w:r w:rsidR="00E65A37" w:rsidRPr="00C0322B">
        <w:rPr>
          <w:lang w:eastAsia="zh-CN"/>
        </w:rPr>
        <w:t xml:space="preserve"> There is still a note within brackets. Current document shares our view on how to handle th</w:t>
      </w:r>
      <w:r w:rsidR="00C0322B" w:rsidRPr="00C0322B">
        <w:rPr>
          <w:lang w:eastAsia="zh-CN"/>
        </w:rPr>
        <w:t>is</w:t>
      </w:r>
      <w:r w:rsidR="00E65A37" w:rsidRPr="00C0322B">
        <w:rPr>
          <w:lang w:eastAsia="zh-CN"/>
        </w:rPr>
        <w:t xml:space="preserve"> note.</w:t>
      </w:r>
    </w:p>
    <w:tbl>
      <w:tblPr>
        <w:tblW w:w="223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rsidTr="0088564A">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4C0A6E"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C0A6E">
              <w:rPr>
                <w:rFonts w:ascii="Arial" w:eastAsia="Times New Roman" w:hAnsi="Arial" w:cs="Arial"/>
                <w:b/>
                <w:color w:val="000000"/>
                <w:sz w:val="18"/>
              </w:rPr>
              <w:t xml:space="preserve">exhaustive </w:t>
            </w:r>
            <w:r w:rsidR="00F93779">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66BB9" w:rsidTr="0088564A">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665CC9">
            <w:pPr>
              <w:autoSpaceDE w:val="0"/>
              <w:autoSpaceDN w:val="0"/>
              <w:adjustRightInd w:val="0"/>
              <w:snapToGrid w:val="0"/>
              <w:spacing w:afterLines="50" w:after="163"/>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2A711E" w:rsidRDefault="002A711E" w:rsidP="004C36E3">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w:t>
            </w:r>
            <w:r w:rsidR="004C36E3" w:rsidRPr="00417A5B">
              <w:rPr>
                <w:rFonts w:ascii="Arial" w:eastAsia="宋体" w:hAnsi="Arial" w:cs="Arial"/>
                <w:color w:val="000000"/>
                <w:sz w:val="18"/>
                <w:lang w:eastAsia="zh-CN"/>
              </w:rPr>
              <w:t>It is not applicable to the case when UL-MIMO and intra-band UL CA are in operation at the same time.</w:t>
            </w:r>
            <w:r>
              <w:rPr>
                <w:rFonts w:ascii="Arial" w:eastAsiaTheme="minorEastAsia" w:hAnsi="Arial" w:cs="Arial" w:hint="eastAsia"/>
                <w:color w:val="000000"/>
                <w:sz w:val="18"/>
                <w:lang w:eastAsia="zh-CN"/>
              </w:rPr>
              <w: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B6174A" w:rsidRDefault="00B6174A" w:rsidP="002C3E9B">
      <w:pPr>
        <w:rPr>
          <w:rFonts w:ascii="Arial" w:eastAsiaTheme="minorEastAsia" w:hAnsi="Arial" w:cs="Arial"/>
          <w:sz w:val="28"/>
          <w:szCs w:val="28"/>
          <w:lang w:eastAsia="zh-CN"/>
        </w:rPr>
        <w:sectPr w:rsidR="00B6174A" w:rsidSect="00B6174A">
          <w:footerReference w:type="default" r:id="rId14"/>
          <w:pgSz w:w="23808" w:h="16840" w:orient="landscape"/>
          <w:pgMar w:top="1134" w:right="851" w:bottom="1134" w:left="567" w:header="720" w:footer="720" w:gutter="0"/>
          <w:cols w:space="720"/>
          <w:docGrid w:type="lines" w:linePitch="326"/>
        </w:sectPr>
      </w:pPr>
    </w:p>
    <w:p w:rsidR="00F93779" w:rsidRDefault="00F93779" w:rsidP="002C3E9B">
      <w:pPr>
        <w:rPr>
          <w:rFonts w:ascii="Arial" w:eastAsiaTheme="minorEastAsia" w:hAnsi="Arial" w:cs="Arial"/>
          <w:sz w:val="28"/>
          <w:szCs w:val="28"/>
          <w:lang w:eastAsia="zh-CN"/>
        </w:rPr>
      </w:pPr>
    </w:p>
    <w:p w:rsidR="0018206A" w:rsidRDefault="0018206A" w:rsidP="0018206A">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w:t>
      </w:r>
    </w:p>
    <w:p w:rsidR="0018206A" w:rsidRPr="00E0449B" w:rsidRDefault="00C0322B" w:rsidP="00685726">
      <w:pPr>
        <w:spacing w:after="180"/>
        <w:jc w:val="both"/>
        <w:rPr>
          <w:rFonts w:eastAsia="宋体"/>
          <w:lang w:eastAsia="zh-CN"/>
        </w:rPr>
      </w:pPr>
      <w:r w:rsidRPr="00E0449B">
        <w:rPr>
          <w:rFonts w:eastAsia="宋体" w:hint="eastAsia"/>
          <w:lang w:eastAsia="zh-CN"/>
        </w:rPr>
        <w:t>T</w:t>
      </w:r>
      <w:r w:rsidRPr="00E0449B">
        <w:rPr>
          <w:rFonts w:eastAsia="宋体"/>
          <w:lang w:eastAsia="zh-CN"/>
        </w:rPr>
        <w:t xml:space="preserve">he </w:t>
      </w:r>
      <w:r w:rsidR="00071822" w:rsidRPr="00E0449B">
        <w:rPr>
          <w:rFonts w:eastAsia="宋体"/>
          <w:lang w:eastAsia="zh-CN"/>
        </w:rPr>
        <w:t xml:space="preserve">UE feature of </w:t>
      </w:r>
      <w:r w:rsidR="00650AD5" w:rsidRPr="00E0449B">
        <w:rPr>
          <w:rFonts w:eastAsia="宋体"/>
          <w:lang w:eastAsia="zh-CN"/>
        </w:rPr>
        <w:t>P</w:t>
      </w:r>
      <w:r w:rsidR="00071822" w:rsidRPr="00E0449B">
        <w:rPr>
          <w:rFonts w:eastAsia="宋体"/>
          <w:lang w:eastAsia="zh-CN"/>
        </w:rPr>
        <w:t xml:space="preserve">ower class per band per band combination was introduced to </w:t>
      </w:r>
      <w:r w:rsidR="00AC69E1" w:rsidRPr="00E0449B">
        <w:rPr>
          <w:rFonts w:eastAsia="宋体"/>
          <w:lang w:eastAsia="zh-CN"/>
        </w:rPr>
        <w:t>solve</w:t>
      </w:r>
      <w:r w:rsidR="00071822" w:rsidRPr="00E0449B">
        <w:rPr>
          <w:rFonts w:eastAsia="宋体"/>
          <w:lang w:eastAsia="zh-CN"/>
        </w:rPr>
        <w:t xml:space="preserve"> the </w:t>
      </w:r>
      <w:r w:rsidR="00AC69E1" w:rsidRPr="00E0449B">
        <w:rPr>
          <w:rFonts w:eastAsia="宋体"/>
          <w:lang w:eastAsia="zh-CN"/>
        </w:rPr>
        <w:t>identified</w:t>
      </w:r>
      <w:r w:rsidR="00071822" w:rsidRPr="00E0449B">
        <w:rPr>
          <w:rFonts w:eastAsia="宋体"/>
          <w:lang w:eastAsia="zh-CN"/>
        </w:rPr>
        <w:t xml:space="preserve"> ambiguity of UE power class when UE works </w:t>
      </w:r>
      <w:r w:rsidR="00F76AE4" w:rsidRPr="00E0449B">
        <w:rPr>
          <w:rFonts w:eastAsia="宋体"/>
          <w:lang w:eastAsia="zh-CN"/>
        </w:rPr>
        <w:t xml:space="preserve">in </w:t>
      </w:r>
      <w:r w:rsidR="00071822" w:rsidRPr="00E0449B">
        <w:rPr>
          <w:rFonts w:eastAsia="宋体"/>
          <w:lang w:eastAsia="zh-CN"/>
        </w:rPr>
        <w:t xml:space="preserve">inter-band CA </w:t>
      </w:r>
      <w:r w:rsidR="00F76AE4" w:rsidRPr="00E0449B">
        <w:rPr>
          <w:rFonts w:eastAsia="宋体"/>
          <w:lang w:eastAsia="zh-CN"/>
        </w:rPr>
        <w:t>mode</w:t>
      </w:r>
      <w:r w:rsidR="00C26DFE" w:rsidRPr="00E0449B">
        <w:rPr>
          <w:rFonts w:eastAsia="宋体"/>
          <w:lang w:eastAsia="zh-CN"/>
        </w:rPr>
        <w:t xml:space="preserve"> [2, 3]</w:t>
      </w:r>
      <w:r w:rsidR="00071822" w:rsidRPr="00E0449B">
        <w:rPr>
          <w:rFonts w:eastAsia="宋体"/>
          <w:lang w:eastAsia="zh-CN"/>
        </w:rPr>
        <w:t>.</w:t>
      </w:r>
      <w:r w:rsidR="00F76AE4" w:rsidRPr="00E0449B">
        <w:rPr>
          <w:rFonts w:eastAsia="宋体"/>
          <w:lang w:eastAsia="zh-CN"/>
        </w:rPr>
        <w:t xml:space="preserve"> </w:t>
      </w:r>
      <w:r w:rsidR="00AC69E1" w:rsidRPr="00E0449B">
        <w:rPr>
          <w:rFonts w:eastAsia="宋体"/>
          <w:lang w:eastAsia="zh-CN"/>
        </w:rPr>
        <w:t xml:space="preserve">Furthermore this UE feature </w:t>
      </w:r>
      <w:r w:rsidR="00C26DFE" w:rsidRPr="00E0449B">
        <w:rPr>
          <w:rFonts w:eastAsia="宋体"/>
          <w:lang w:eastAsia="zh-CN"/>
        </w:rPr>
        <w:t>would reinforce the newly specified higher power limit feature.</w:t>
      </w:r>
    </w:p>
    <w:p w:rsidR="004F71F8" w:rsidRPr="00E0449B" w:rsidRDefault="00C26DFE" w:rsidP="00685726">
      <w:pPr>
        <w:spacing w:after="180"/>
        <w:jc w:val="both"/>
        <w:rPr>
          <w:rFonts w:eastAsia="宋体"/>
          <w:lang w:eastAsia="zh-CN"/>
        </w:rPr>
      </w:pPr>
      <w:r w:rsidRPr="00E0449B">
        <w:rPr>
          <w:rFonts w:eastAsia="宋体"/>
          <w:lang w:eastAsia="zh-CN"/>
        </w:rPr>
        <w:t>The note under discussion is aiming to exclude the scenario of UL-MIMO and intra-band CA operation at the same time</w:t>
      </w:r>
      <w:r w:rsidR="00062BC8" w:rsidRPr="00E0449B">
        <w:rPr>
          <w:rFonts w:eastAsia="宋体"/>
          <w:lang w:eastAsia="zh-CN"/>
        </w:rPr>
        <w:t xml:space="preserve">, however it’s not </w:t>
      </w:r>
      <w:r w:rsidR="00F36767" w:rsidRPr="00E0449B">
        <w:rPr>
          <w:rFonts w:eastAsia="宋体"/>
          <w:lang w:eastAsia="zh-CN"/>
        </w:rPr>
        <w:t>needed</w:t>
      </w:r>
      <w:r w:rsidR="00062BC8" w:rsidRPr="00E0449B">
        <w:rPr>
          <w:rFonts w:eastAsia="宋体"/>
          <w:lang w:eastAsia="zh-CN"/>
        </w:rPr>
        <w:t xml:space="preserve"> as pointed out by several companies [4]</w:t>
      </w:r>
      <w:r w:rsidRPr="00E0449B">
        <w:rPr>
          <w:rFonts w:eastAsia="宋体"/>
          <w:lang w:eastAsia="zh-CN"/>
        </w:rPr>
        <w:t xml:space="preserve">. </w:t>
      </w:r>
      <w:r w:rsidR="004F71F8" w:rsidRPr="00E0449B">
        <w:rPr>
          <w:rFonts w:eastAsia="宋体"/>
          <w:lang w:eastAsia="zh-CN"/>
        </w:rPr>
        <w:t>The discussion of this UE feature</w:t>
      </w:r>
      <w:r w:rsidR="004C0A6E" w:rsidRPr="00E0449B">
        <w:rPr>
          <w:rFonts w:eastAsia="宋体"/>
          <w:lang w:eastAsia="zh-CN"/>
        </w:rPr>
        <w:t xml:space="preserve"> in Rel-17</w:t>
      </w:r>
      <w:r w:rsidR="004F71F8" w:rsidRPr="00E0449B">
        <w:rPr>
          <w:rFonts w:eastAsia="宋体"/>
          <w:lang w:eastAsia="zh-CN"/>
        </w:rPr>
        <w:t xml:space="preserve"> was focused on inter-band CA configuration all along. </w:t>
      </w:r>
      <w:r w:rsidR="00531D82" w:rsidRPr="00E0449B">
        <w:rPr>
          <w:rFonts w:eastAsia="宋体"/>
          <w:lang w:eastAsia="zh-CN"/>
        </w:rPr>
        <w:t>Based on the common understanding, th</w:t>
      </w:r>
      <w:r w:rsidR="004F71F8" w:rsidRPr="00E0449B">
        <w:rPr>
          <w:rFonts w:eastAsia="宋体"/>
          <w:lang w:eastAsia="zh-CN"/>
        </w:rPr>
        <w:t xml:space="preserve">e agreed CR </w:t>
      </w:r>
      <w:r w:rsidR="004C0A6E" w:rsidRPr="00E0449B">
        <w:rPr>
          <w:rFonts w:eastAsia="宋体"/>
          <w:lang w:eastAsia="zh-CN"/>
        </w:rPr>
        <w:t xml:space="preserve">[5] implemented the UE capability </w:t>
      </w:r>
      <w:r w:rsidR="00531D82" w:rsidRPr="00E0449B">
        <w:rPr>
          <w:rFonts w:eastAsia="宋体"/>
          <w:lang w:eastAsia="zh-CN"/>
        </w:rPr>
        <w:t xml:space="preserve">only </w:t>
      </w:r>
      <w:r w:rsidR="004C0A6E" w:rsidRPr="00E0449B">
        <w:rPr>
          <w:rFonts w:eastAsia="宋体"/>
          <w:lang w:eastAsia="zh-CN"/>
        </w:rPr>
        <w:t xml:space="preserve">in </w:t>
      </w:r>
      <w:proofErr w:type="spellStart"/>
      <w:r w:rsidR="004C0A6E" w:rsidRPr="00E0449B">
        <w:rPr>
          <w:rFonts w:eastAsia="宋体"/>
          <w:lang w:eastAsia="zh-CN"/>
        </w:rPr>
        <w:t>subclause</w:t>
      </w:r>
      <w:proofErr w:type="spellEnd"/>
      <w:r w:rsidR="004C0A6E" w:rsidRPr="00E0449B">
        <w:rPr>
          <w:rFonts w:eastAsia="宋体"/>
          <w:lang w:eastAsia="zh-CN"/>
        </w:rPr>
        <w:t xml:space="preserve"> for inter-band CA, thus already ruled out applying this UE capability to intra-band CA case. The </w:t>
      </w:r>
      <w:r w:rsidR="00A95235" w:rsidRPr="00E0449B">
        <w:rPr>
          <w:rFonts w:eastAsia="宋体"/>
          <w:lang w:eastAsia="zh-CN"/>
        </w:rPr>
        <w:t>n</w:t>
      </w:r>
      <w:r w:rsidR="004C0A6E" w:rsidRPr="00E0449B">
        <w:rPr>
          <w:rFonts w:eastAsia="宋体"/>
          <w:lang w:eastAsia="zh-CN"/>
        </w:rPr>
        <w:t>ote under discussion is redundant and could be removed.</w:t>
      </w:r>
    </w:p>
    <w:p w:rsidR="00C26DFE" w:rsidRPr="00E0449B" w:rsidRDefault="004C0A6E" w:rsidP="00685726">
      <w:pPr>
        <w:spacing w:after="180"/>
        <w:jc w:val="both"/>
        <w:rPr>
          <w:rFonts w:eastAsia="宋体"/>
          <w:lang w:eastAsia="zh-CN"/>
        </w:rPr>
      </w:pPr>
      <w:r w:rsidRPr="00E0449B">
        <w:rPr>
          <w:rFonts w:eastAsia="宋体"/>
          <w:lang w:eastAsia="zh-CN"/>
        </w:rPr>
        <w:t xml:space="preserve">On the other hand, with the </w:t>
      </w:r>
      <w:r w:rsidR="00A95235" w:rsidRPr="00E0449B">
        <w:rPr>
          <w:rFonts w:eastAsia="宋体"/>
          <w:lang w:eastAsia="zh-CN"/>
        </w:rPr>
        <w:t>n</w:t>
      </w:r>
      <w:r w:rsidRPr="00E0449B">
        <w:rPr>
          <w:rFonts w:eastAsia="宋体"/>
          <w:lang w:eastAsia="zh-CN"/>
        </w:rPr>
        <w:t xml:space="preserve">ote being left in specification, extra ambiguity might be introduced. Current </w:t>
      </w:r>
      <w:r w:rsidR="00A95235" w:rsidRPr="00E0449B">
        <w:rPr>
          <w:rFonts w:eastAsia="宋体"/>
          <w:lang w:eastAsia="zh-CN"/>
        </w:rPr>
        <w:t>n</w:t>
      </w:r>
      <w:r w:rsidRPr="00E0449B">
        <w:rPr>
          <w:rFonts w:eastAsia="宋体"/>
          <w:lang w:eastAsia="zh-CN"/>
        </w:rPr>
        <w:t xml:space="preserve">ote only excludes the case of </w:t>
      </w:r>
      <w:proofErr w:type="spellStart"/>
      <w:r w:rsidRPr="00E0449B">
        <w:rPr>
          <w:rFonts w:eastAsia="宋体"/>
          <w:lang w:eastAsia="zh-CN"/>
        </w:rPr>
        <w:t>UL-MIMO+intra-band</w:t>
      </w:r>
      <w:proofErr w:type="spellEnd"/>
      <w:r w:rsidRPr="00E0449B">
        <w:rPr>
          <w:rFonts w:eastAsia="宋体"/>
          <w:lang w:eastAsia="zh-CN"/>
        </w:rPr>
        <w:t xml:space="preserve"> CA, it seems implying that intra-band CA without UL-MIMO is applicable, which is not true at the moment. Similarly, if only UL-MIMO + intra-band CA is excluded, the status of </w:t>
      </w:r>
      <w:proofErr w:type="spellStart"/>
      <w:r w:rsidRPr="00E0449B">
        <w:rPr>
          <w:rFonts w:eastAsia="宋体"/>
          <w:lang w:eastAsia="zh-CN"/>
        </w:rPr>
        <w:t>TxD+intra-band</w:t>
      </w:r>
      <w:proofErr w:type="spellEnd"/>
      <w:r w:rsidRPr="00E0449B">
        <w:rPr>
          <w:rFonts w:eastAsia="宋体"/>
          <w:lang w:eastAsia="zh-CN"/>
        </w:rPr>
        <w:t xml:space="preserve"> CA is not fully clear. There might still be more examples. In order to avoid introducing extra ambiguity, either we try to exhaustively list all the inapplicable cases, or we </w:t>
      </w:r>
      <w:r w:rsidR="00A95235" w:rsidRPr="00E0449B">
        <w:rPr>
          <w:rFonts w:eastAsia="宋体"/>
          <w:lang w:eastAsia="zh-CN"/>
        </w:rPr>
        <w:t>could simply</w:t>
      </w:r>
      <w:r w:rsidRPr="00E0449B">
        <w:rPr>
          <w:rFonts w:eastAsia="宋体"/>
          <w:lang w:eastAsia="zh-CN"/>
        </w:rPr>
        <w:t xml:space="preserve"> remove this statement. Considering the applicable scenario is already clearly limited to inter-band CA in 38.101-1, removing the statement would be an easier approach and </w:t>
      </w:r>
      <w:r w:rsidR="00A95235" w:rsidRPr="00E0449B">
        <w:rPr>
          <w:rFonts w:eastAsia="宋体"/>
          <w:lang w:eastAsia="zh-CN"/>
        </w:rPr>
        <w:t>won’t do any</w:t>
      </w:r>
      <w:r w:rsidRPr="00E0449B">
        <w:rPr>
          <w:rFonts w:eastAsia="宋体"/>
          <w:lang w:eastAsia="zh-CN"/>
        </w:rPr>
        <w:t xml:space="preserve"> harm to the accuracy of the specification.</w:t>
      </w:r>
    </w:p>
    <w:p w:rsidR="004F71F8" w:rsidRPr="00E0449B" w:rsidRDefault="004C0A6E" w:rsidP="00685726">
      <w:pPr>
        <w:spacing w:after="180"/>
        <w:jc w:val="both"/>
        <w:rPr>
          <w:rFonts w:eastAsia="宋体"/>
          <w:lang w:eastAsia="zh-CN"/>
        </w:rPr>
      </w:pPr>
      <w:r w:rsidRPr="00E0449B">
        <w:rPr>
          <w:rFonts w:eastAsia="宋体"/>
          <w:lang w:eastAsia="zh-CN"/>
        </w:rPr>
        <w:t xml:space="preserve">Based on above consideration, we propose to remove the </w:t>
      </w:r>
      <w:r w:rsidR="00A55FEF" w:rsidRPr="00E0449B">
        <w:rPr>
          <w:rFonts w:eastAsia="宋体"/>
          <w:lang w:eastAsia="zh-CN"/>
        </w:rPr>
        <w:t>n</w:t>
      </w:r>
      <w:r w:rsidRPr="00E0449B">
        <w:rPr>
          <w:rFonts w:eastAsia="宋体"/>
          <w:lang w:eastAsia="zh-CN"/>
        </w:rPr>
        <w:t>ote from the feature list.</w:t>
      </w:r>
    </w:p>
    <w:p w:rsidR="004F71F8" w:rsidRPr="00E0449B" w:rsidRDefault="004F71F8" w:rsidP="00685726">
      <w:pPr>
        <w:spacing w:after="180"/>
        <w:jc w:val="both"/>
        <w:rPr>
          <w:rFonts w:eastAsia="宋体"/>
          <w:lang w:eastAsia="zh-CN"/>
        </w:rPr>
      </w:pPr>
      <w:r w:rsidRPr="00E0449B">
        <w:rPr>
          <w:rFonts w:eastAsia="宋体"/>
          <w:b/>
          <w:lang w:eastAsia="zh-CN"/>
        </w:rPr>
        <w:t>Proposal 1</w:t>
      </w:r>
      <w:r w:rsidRPr="00E0449B">
        <w:rPr>
          <w:rFonts w:eastAsia="宋体"/>
          <w:lang w:eastAsia="zh-CN"/>
        </w:rPr>
        <w:t>: Removing the note from description of UE feature of Power class per band per band combination</w:t>
      </w:r>
      <w:r w:rsidR="007149E1" w:rsidRPr="00E0449B">
        <w:rPr>
          <w:rFonts w:eastAsia="宋体"/>
          <w:lang w:eastAsia="zh-CN"/>
        </w:rPr>
        <w:t>.</w:t>
      </w:r>
    </w:p>
    <w:p w:rsidR="0088564A" w:rsidRDefault="0088564A" w:rsidP="0088564A">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References</w:t>
      </w:r>
    </w:p>
    <w:p w:rsidR="00654715" w:rsidRPr="00F70C72" w:rsidRDefault="00654715" w:rsidP="009855A4">
      <w:pPr>
        <w:rPr>
          <w:rFonts w:ascii="Arial" w:eastAsiaTheme="minorEastAsia" w:hAnsi="Arial"/>
          <w:sz w:val="20"/>
          <w:lang w:val="en-US" w:eastAsia="zh-CN"/>
        </w:rPr>
      </w:pPr>
      <w:r w:rsidRPr="00F70C72">
        <w:rPr>
          <w:rFonts w:ascii="Arial" w:eastAsiaTheme="minorEastAsia" w:hAnsi="Arial"/>
          <w:sz w:val="20"/>
          <w:lang w:val="en-US" w:eastAsia="zh-CN"/>
        </w:rPr>
        <w:t>[1] R4-22</w:t>
      </w:r>
      <w:r w:rsidRPr="00F70C72">
        <w:rPr>
          <w:rFonts w:ascii="Arial" w:eastAsiaTheme="minorEastAsia" w:hAnsi="Arial" w:hint="eastAsia"/>
          <w:sz w:val="20"/>
          <w:lang w:val="en-US" w:eastAsia="zh-CN"/>
        </w:rPr>
        <w:t>11189</w:t>
      </w:r>
      <w:r w:rsidRPr="00F70C72">
        <w:rPr>
          <w:rFonts w:ascii="Arial" w:eastAsiaTheme="minorEastAsia" w:hAnsi="Arial"/>
          <w:sz w:val="20"/>
          <w:lang w:val="en-US" w:eastAsia="zh-CN"/>
        </w:rPr>
        <w:t xml:space="preserve">, </w:t>
      </w:r>
      <w:r w:rsidRPr="00F70C72">
        <w:rPr>
          <w:rFonts w:ascii="Arial" w:eastAsiaTheme="minorEastAsia" w:hAnsi="Arial" w:hint="eastAsia"/>
          <w:sz w:val="20"/>
          <w:lang w:val="en-US" w:eastAsia="zh-CN"/>
        </w:rPr>
        <w:t>Rel-17 RAN4 UE</w:t>
      </w:r>
      <w:r w:rsidRPr="00F70C72">
        <w:rPr>
          <w:rFonts w:ascii="Arial" w:eastAsiaTheme="minorEastAsia" w:hAnsi="Arial"/>
          <w:sz w:val="20"/>
          <w:lang w:val="en-US" w:eastAsia="zh-CN"/>
        </w:rPr>
        <w:t xml:space="preserve"> feature list </w:t>
      </w:r>
      <w:r w:rsidRPr="00F70C72">
        <w:rPr>
          <w:rFonts w:ascii="Arial" w:eastAsiaTheme="minorEastAsia" w:hAnsi="Arial" w:hint="eastAsia"/>
          <w:sz w:val="20"/>
          <w:lang w:val="en-US" w:eastAsia="zh-CN"/>
        </w:rPr>
        <w:t>for NR</w:t>
      </w:r>
    </w:p>
    <w:p w:rsidR="00C5116B" w:rsidRPr="00F70C72" w:rsidRDefault="00C5116B" w:rsidP="00C5116B">
      <w:pPr>
        <w:rPr>
          <w:rFonts w:ascii="Arial" w:eastAsiaTheme="minorEastAsia" w:hAnsi="Arial"/>
          <w:sz w:val="20"/>
          <w:lang w:val="en-US" w:eastAsia="zh-CN"/>
        </w:rPr>
      </w:pPr>
      <w:r w:rsidRPr="00F70C72">
        <w:rPr>
          <w:rFonts w:ascii="Arial" w:eastAsiaTheme="minorEastAsia" w:hAnsi="Arial"/>
          <w:sz w:val="20"/>
          <w:lang w:val="en-US" w:eastAsia="zh-CN"/>
        </w:rPr>
        <w:t>[2] R4-2204082, On Power Class Ambiguity and New Power Limit for NR inter-band CA, Huawei, HiSilicon, RAN4#102-e</w:t>
      </w:r>
    </w:p>
    <w:p w:rsidR="00C5116B" w:rsidRPr="00F70C72" w:rsidRDefault="00C5116B" w:rsidP="00C5116B">
      <w:pPr>
        <w:rPr>
          <w:rFonts w:ascii="Arial" w:eastAsiaTheme="minorEastAsia" w:hAnsi="Arial"/>
          <w:sz w:val="20"/>
          <w:lang w:val="en-US" w:eastAsia="zh-CN"/>
        </w:rPr>
      </w:pPr>
      <w:r w:rsidRPr="00F70C72">
        <w:rPr>
          <w:rFonts w:ascii="Arial" w:eastAsiaTheme="minorEastAsia" w:hAnsi="Arial"/>
          <w:sz w:val="20"/>
          <w:lang w:val="en-US" w:eastAsia="zh-CN"/>
        </w:rPr>
        <w:t>[3] R4-2209375, R17 Per band Per BC power class capability, OPPO, RAN4#103-e</w:t>
      </w:r>
    </w:p>
    <w:p w:rsidR="00C5116B" w:rsidRPr="00F70C72" w:rsidRDefault="00C5116B" w:rsidP="00C5116B">
      <w:pPr>
        <w:rPr>
          <w:rFonts w:ascii="Arial" w:eastAsiaTheme="minorEastAsia" w:hAnsi="Arial"/>
          <w:sz w:val="20"/>
          <w:lang w:val="en-US" w:eastAsia="zh-CN"/>
        </w:rPr>
      </w:pPr>
      <w:r w:rsidRPr="00F70C72">
        <w:rPr>
          <w:rFonts w:ascii="Arial" w:eastAsiaTheme="minorEastAsia" w:hAnsi="Arial"/>
          <w:sz w:val="20"/>
          <w:lang w:val="en-US" w:eastAsia="zh-CN"/>
        </w:rPr>
        <w:t>[4] R4-2210468, Email discussion summary for [103-e</w:t>
      </w:r>
      <w:proofErr w:type="gramStart"/>
      <w:r w:rsidRPr="00F70C72">
        <w:rPr>
          <w:rFonts w:ascii="Arial" w:eastAsiaTheme="minorEastAsia" w:hAnsi="Arial"/>
          <w:sz w:val="20"/>
          <w:lang w:val="en-US" w:eastAsia="zh-CN"/>
        </w:rPr>
        <w:t>][</w:t>
      </w:r>
      <w:proofErr w:type="gramEnd"/>
      <w:r w:rsidRPr="00F70C72">
        <w:rPr>
          <w:rFonts w:ascii="Arial" w:eastAsiaTheme="minorEastAsia" w:hAnsi="Arial"/>
          <w:sz w:val="20"/>
          <w:lang w:val="en-US" w:eastAsia="zh-CN"/>
        </w:rPr>
        <w:t>136] R17_feature_list, Moderator (CMCC), RAN4#103-e</w:t>
      </w:r>
    </w:p>
    <w:p w:rsidR="00C5116B" w:rsidRPr="00F70C72" w:rsidRDefault="00C5116B" w:rsidP="00C5116B">
      <w:pPr>
        <w:rPr>
          <w:rFonts w:ascii="Arial" w:eastAsiaTheme="minorEastAsia" w:hAnsi="Arial"/>
          <w:sz w:val="20"/>
          <w:lang w:val="en-US" w:eastAsia="zh-CN"/>
        </w:rPr>
      </w:pPr>
      <w:r w:rsidRPr="00F70C72">
        <w:rPr>
          <w:rFonts w:ascii="Arial" w:eastAsiaTheme="minorEastAsia" w:hAnsi="Arial"/>
          <w:sz w:val="20"/>
          <w:lang w:val="en-US" w:eastAsia="zh-CN"/>
        </w:rPr>
        <w:t xml:space="preserve">[5] R4-2210767, Increasing the maximum power limit for inter-band UL CA, </w:t>
      </w:r>
      <w:r w:rsidR="00211AC6" w:rsidRPr="00F70C72">
        <w:rPr>
          <w:rFonts w:ascii="Arial" w:eastAsiaTheme="minorEastAsia" w:hAnsi="Arial"/>
          <w:sz w:val="20"/>
          <w:lang w:val="en-US" w:eastAsia="zh-CN"/>
        </w:rPr>
        <w:t xml:space="preserve">Qualcomm Incorporated, Verizon, Vodafone, Deutsche Telekom, US Cellular, T-Mobile USA, AT&amp;T, China Unicom, NTT DOCOMO, INC., China Telecom, Nokia, Nokia Shanghai Bell, </w:t>
      </w:r>
      <w:proofErr w:type="spellStart"/>
      <w:r w:rsidR="00211AC6" w:rsidRPr="00F70C72">
        <w:rPr>
          <w:rFonts w:ascii="Arial" w:eastAsiaTheme="minorEastAsia" w:hAnsi="Arial"/>
          <w:sz w:val="20"/>
          <w:lang w:val="en-US" w:eastAsia="zh-CN"/>
        </w:rPr>
        <w:t>CableLabs</w:t>
      </w:r>
      <w:proofErr w:type="spellEnd"/>
      <w:r w:rsidR="00211AC6" w:rsidRPr="00F70C72">
        <w:rPr>
          <w:rFonts w:ascii="Arial" w:eastAsiaTheme="minorEastAsia" w:hAnsi="Arial"/>
          <w:sz w:val="20"/>
          <w:lang w:val="en-US" w:eastAsia="zh-CN"/>
        </w:rPr>
        <w:t>, Charter Communications, Inc., Dish Network, Skyworks Solutions, Inc., ZTE, Huawei, HiSilicon</w:t>
      </w:r>
      <w:r w:rsidRPr="00F70C72">
        <w:rPr>
          <w:rFonts w:ascii="Arial" w:eastAsiaTheme="minorEastAsia" w:hAnsi="Arial"/>
          <w:sz w:val="20"/>
          <w:lang w:val="en-US" w:eastAsia="zh-CN"/>
        </w:rPr>
        <w:t>, RAN4#103-e</w:t>
      </w:r>
    </w:p>
    <w:p w:rsidR="00C5116B" w:rsidRPr="00C5116B" w:rsidRDefault="00C5116B" w:rsidP="009855A4">
      <w:pPr>
        <w:rPr>
          <w:rFonts w:eastAsiaTheme="minorEastAsia"/>
          <w:lang w:eastAsia="zh-CN"/>
        </w:rPr>
      </w:pPr>
    </w:p>
    <w:sectPr w:rsidR="00C5116B" w:rsidRPr="00C5116B" w:rsidSect="00685726">
      <w:pgSz w:w="16840" w:h="23808"/>
      <w:pgMar w:top="567" w:right="1134" w:bottom="851"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656" w:rsidRDefault="007B7656">
      <w:r>
        <w:separator/>
      </w:r>
    </w:p>
  </w:endnote>
  <w:endnote w:type="continuationSeparator" w:id="0">
    <w:p w:rsidR="007B7656" w:rsidRDefault="007B7656">
      <w:r>
        <w:continuationSeparator/>
      </w:r>
    </w:p>
  </w:endnote>
  <w:endnote w:type="continuationNotice" w:id="1">
    <w:p w:rsidR="007B7656" w:rsidRDefault="007B7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11E" w:rsidRDefault="002A711E">
    <w:pPr>
      <w:pStyle w:val="af"/>
      <w:jc w:val="center"/>
      <w:rPr>
        <w:sz w:val="22"/>
      </w:rPr>
    </w:pPr>
    <w:r>
      <w:rPr>
        <w:rStyle w:val="af8"/>
        <w:rFonts w:eastAsia="MS Gothic"/>
      </w:rPr>
      <w:t xml:space="preserve">- </w:t>
    </w:r>
    <w:r>
      <w:rPr>
        <w:rStyle w:val="af8"/>
        <w:rFonts w:eastAsia="MS Gothic"/>
      </w:rPr>
      <w:fldChar w:fldCharType="begin"/>
    </w:r>
    <w:r>
      <w:rPr>
        <w:rStyle w:val="af8"/>
        <w:rFonts w:eastAsia="MS Gothic"/>
      </w:rPr>
      <w:instrText xml:space="preserve"> PAGE </w:instrText>
    </w:r>
    <w:r>
      <w:rPr>
        <w:rStyle w:val="af8"/>
        <w:rFonts w:eastAsia="MS Gothic"/>
      </w:rPr>
      <w:fldChar w:fldCharType="separate"/>
    </w:r>
    <w:r w:rsidR="005900E3">
      <w:rPr>
        <w:rStyle w:val="af8"/>
        <w:rFonts w:eastAsia="MS Gothic"/>
        <w:noProof/>
      </w:rPr>
      <w:t>1</w:t>
    </w:r>
    <w:r>
      <w:rPr>
        <w:rStyle w:val="af8"/>
        <w:rFonts w:eastAsia="MS Gothic"/>
      </w:rPr>
      <w:fldChar w:fldCharType="end"/>
    </w:r>
    <w:r>
      <w:rPr>
        <w:rStyle w:val="af8"/>
        <w:rFonts w:eastAsia="MS Gothic"/>
      </w:rPr>
      <w:t>/</w:t>
    </w:r>
    <w:r>
      <w:rPr>
        <w:rStyle w:val="af8"/>
        <w:rFonts w:eastAsia="MS Gothic"/>
      </w:rPr>
      <w:fldChar w:fldCharType="begin"/>
    </w:r>
    <w:r>
      <w:rPr>
        <w:rStyle w:val="af8"/>
        <w:rFonts w:eastAsia="MS Gothic"/>
      </w:rPr>
      <w:instrText xml:space="preserve"> NUMPAGES </w:instrText>
    </w:r>
    <w:r>
      <w:rPr>
        <w:rStyle w:val="af8"/>
        <w:rFonts w:eastAsia="MS Gothic"/>
      </w:rPr>
      <w:fldChar w:fldCharType="separate"/>
    </w:r>
    <w:r w:rsidR="005900E3">
      <w:rPr>
        <w:rStyle w:val="af8"/>
        <w:rFonts w:eastAsia="MS Gothic"/>
        <w:noProof/>
      </w:rPr>
      <w:t>2</w:t>
    </w:r>
    <w:r>
      <w:rPr>
        <w:rStyle w:val="af8"/>
        <w:rFonts w:eastAsia="MS Gothic"/>
      </w:rPr>
      <w:fldChar w:fldCharType="end"/>
    </w:r>
    <w:r>
      <w:rPr>
        <w:rStyle w:val="af8"/>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656" w:rsidRDefault="007B7656">
      <w:r>
        <w:separator/>
      </w:r>
    </w:p>
  </w:footnote>
  <w:footnote w:type="continuationSeparator" w:id="0">
    <w:p w:rsidR="007B7656" w:rsidRDefault="007B7656">
      <w:r>
        <w:continuationSeparator/>
      </w:r>
    </w:p>
  </w:footnote>
  <w:footnote w:type="continuationNotice" w:id="1">
    <w:p w:rsidR="007B7656" w:rsidRDefault="007B765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C1E613C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BC8"/>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2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170"/>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6A"/>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AC6"/>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CAA"/>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299"/>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A6E"/>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1F8"/>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D82"/>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0E3"/>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D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15"/>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726"/>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49E1"/>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B7656"/>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4A"/>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5F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5FEF"/>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35"/>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9E1"/>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74A"/>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22B"/>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6DFE"/>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6B"/>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0D04"/>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49B"/>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37"/>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767"/>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72"/>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AE4"/>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A5C"/>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01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627"/>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341044-484F-46F8-BE9B-6F623D33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32710186">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AFB08C83-4454-4C4F-AFA7-28C7A5CC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Huawei-Chunying Gu</cp:lastModifiedBy>
  <cp:revision>27</cp:revision>
  <cp:lastPrinted>2017-08-09T04:40:00Z</cp:lastPrinted>
  <dcterms:created xsi:type="dcterms:W3CDTF">2022-08-04T14:10:00Z</dcterms:created>
  <dcterms:modified xsi:type="dcterms:W3CDTF">2022-08-10T15:25:00Z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(3)J1XsOxNqiChpJIoxrYborQKrYsDmcVPdR/4civSiw5/66NUle/bmJ1f3XZ6hj1a29dubc6O6
/BGIYGYhZuRRAnRczwmbHgKXzEEK0ivfJOqewdpC7uzAw1ozbzKOPrbp2VvX06NZ3ke6Q5yU
DhiYTl9/nsizvBhifPM6JUecU9CzgjdsM1T/fth9X1jm+GNjVZUlDIvN5EIDE44e1923mSjP
atD9v1nRTorUTTPzAn</vt:lpwstr>
  </property>
  <property fmtid="{D5CDD505-2E9C-101B-9397-08002B2CF9AE}" pid="3" name="_2015_ms_pID_7253431">
    <vt:lpwstr>w2WZKDg37YAR471TnASUtO+ZCY2qZ3J2YWYD5cpZvFS/GGjHXwwEB2
32s6AWBEquhQAT21vZZsiDL5RVlzZ/inFl4iEFzbRBrdHthhYMAh/SCVnCq0IOV8K1Mz/FhT
tUCyD/7trcoolVgDoOIXlhptCBwqENwmKxxGLHrMqxmqqVWbh26Zw/bQyOvQdxy75rnmSc2i
uOG2zC0cCyBP20C/OSJo/IgOUPkf9S8tn1+V</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PQ==</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